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3.xml" ContentType="application/vnd.openxmlformats-officedocument.customXmlProperties+xml"/>
  <Override PartName="/customXml/itemProps4.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314654"/>
        <w:docPartObj>
          <w:docPartGallery w:val="Cover Pages"/>
          <w:docPartUnique/>
        </w:docPartObj>
      </w:sdtPr>
      <w:sdtEndPr>
        <w:rPr>
          <w:rFonts w:ascii="Batang" w:eastAsia="Batang" w:hAnsi="Batang"/>
          <w:sz w:val="24"/>
          <w:szCs w:val="24"/>
        </w:rPr>
      </w:sdtEndPr>
      <w:sdtContent>
        <w:p w:rsidR="008427B3" w:rsidRDefault="008427B3"/>
        <w:p w:rsidR="008427B3" w:rsidRDefault="00D91D10">
          <w:r>
            <w:rPr>
              <w:noProof/>
            </w:rPr>
            <mc:AlternateContent>
              <mc:Choice Requires="wps">
                <w:drawing>
                  <wp:anchor distT="0" distB="0" distL="114300" distR="114300" simplePos="0" relativeHeight="251657728" behindDoc="1" locked="0" layoutInCell="0" allowOverlap="1" wp14:anchorId="116EAC0A" wp14:editId="5DCAAB83">
                    <wp:simplePos x="0" y="0"/>
                    <wp:positionH relativeFrom="page">
                      <wp:align>center</wp:align>
                    </wp:positionH>
                    <wp:positionV relativeFrom="page">
                      <wp:align>center</wp:align>
                    </wp:positionV>
                    <wp:extent cx="7558405" cy="10688320"/>
                    <wp:effectExtent l="0" t="3175" r="4445" b="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8405" cy="10688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27B3" w:rsidRDefault="008427B3">
                                <w:pPr>
                                  <w:rPr>
                                    <w:rFonts w:asciiTheme="majorHAnsi" w:eastAsiaTheme="majorEastAsia" w:hAnsiTheme="majorHAnsi" w:cstheme="majorBidi"/>
                                    <w:color w:val="E6EED5" w:themeColor="accent3" w:themeTint="3F"/>
                                    <w:sz w:val="96"/>
                                    <w:szCs w:val="96"/>
                                  </w:rPr>
                                </w:pPr>
                                <w:r>
                                  <w:rPr>
                                    <w:rFonts w:asciiTheme="majorHAnsi" w:eastAsiaTheme="majorEastAsia" w:hAnsiTheme="majorHAnsi" w:cstheme="majorBidi"/>
                                    <w:color w:val="E6EED5" w:themeColor="accent3" w:themeTint="3F"/>
                                    <w:sz w:val="72"/>
                                    <w:szCs w:val="72"/>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color w:val="E6EED5" w:themeColor="accent3" w:themeTint="3F"/>
                                    <w:sz w:val="72"/>
                                    <w:szCs w:val="72"/>
                                    <w:u w:val="single"/>
                                  </w:rPr>
                                  <w:t>xcvbnmqwertyuiopasdfghjklzxcvbnmqw</w:t>
                                </w:r>
                                <w:r>
                                  <w:rPr>
                                    <w:rFonts w:asciiTheme="majorHAnsi" w:eastAsiaTheme="majorEastAsia" w:hAnsiTheme="majorHAnsi" w:cstheme="majorBidi"/>
                                    <w:color w:val="E6EED5" w:themeColor="accent3" w:themeTint="3F"/>
                                    <w:sz w:val="72"/>
                                    <w:szCs w:val="72"/>
                                  </w:rPr>
                                  <w:t>ertyuiopasdfghjklzxcvbnm</w:t>
                                </w:r>
                              </w:p>
                            </w:txbxContent>
                          </wps:txbx>
                          <wps:bodyPr rot="0" vert="horz" wrap="square" lIns="91440" tIns="45720" rIns="91440" bIns="45720" anchor="t" anchorCtr="0" upright="1">
                            <a:noAutofit/>
                          </wps:bodyPr>
                        </wps:wsp>
                      </a:graphicData>
                    </a:graphic>
                    <wp14:sizeRelH relativeFrom="page">
                      <wp14:pctWidth>100000</wp14:pctWidth>
                    </wp14:sizeRelH>
                    <wp14:sizeRelV relativeFrom="page">
                      <wp14:pctHeight>100000</wp14:pctHeight>
                    </wp14:sizeRelV>
                  </wp:anchor>
                </w:drawing>
              </mc:Choice>
              <mc:Fallback>
                <w:pict>
                  <v:rect id="Rectangle 2" o:spid="_x0000_s1026" style="position:absolute;margin-left:0;margin-top:0;width:595.15pt;height:841.6pt;z-index:-251658752;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" o:allowincell="f" stroked="f">
                    <v:textbox>
                      <w:txbxContent>
                        <w:p w:rsidR="008427B3" w:rsidRDefault="008427B3">
                          <w:pPr>
                            <w:rPr>
                              <w:rFonts w:asciiTheme="majorHAnsi" w:eastAsiaTheme="majorEastAsia" w:hAnsiTheme="majorHAnsi" w:cstheme="majorBidi"/>
                              <w:color w:val="E6EED5" w:themeColor="accent3" w:themeTint="3F"/>
                              <w:sz w:val="96"/>
                              <w:szCs w:val="96"/>
                            </w:rPr>
                          </w:pPr>
                          <w:r>
                            <w:rPr>
                              <w:rFonts w:asciiTheme="majorHAnsi" w:eastAsiaTheme="majorEastAsia" w:hAnsiTheme="majorHAnsi" w:cstheme="majorBidi"/>
                              <w:color w:val="E6EED5" w:themeColor="accent3" w:themeTint="3F"/>
                              <w:sz w:val="72"/>
                              <w:szCs w:val="72"/>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color w:val="E6EED5" w:themeColor="accent3" w:themeTint="3F"/>
                              <w:sz w:val="72"/>
                              <w:szCs w:val="72"/>
                              <w:u w:val="single"/>
                            </w:rPr>
                            <w:t>xcvbnmqwertyuiopasdfghjklzxcvbnmqw</w:t>
                          </w:r>
                          <w:r>
                            <w:rPr>
                              <w:rFonts w:asciiTheme="majorHAnsi" w:eastAsiaTheme="majorEastAsia" w:hAnsiTheme="majorHAnsi" w:cstheme="majorBidi"/>
                              <w:color w:val="E6EED5" w:themeColor="accent3" w:themeTint="3F"/>
                              <w:sz w:val="72"/>
                              <w:szCs w:val="72"/>
                            </w:rPr>
                            <w:t>ertyuiopasdfghjklzxcvbnm</w:t>
                          </w:r>
                        </w:p>
                      </w:txbxContent>
                    </v:textbox>
                    <w10:wrap anchorx="page" anchory="page"/>
                  </v:rect>
                </w:pict>
              </mc:Fallback>
            </mc:AlternateContent>
          </w:r>
        </w:p>
        <w:p w:rsidR="008427B3" w:rsidRDefault="008427B3"/>
        <w:tbl>
          <w:tblPr>
            <w:tblW w:w="3506" w:type="pct"/>
            <w:jc w:val="center"/>
            <w:tblBorders>
              <w:top w:val="thinThickSmallGap" w:sz="36" w:space="0" w:color="76923C" w:themeColor="accent3" w:themeShade="BF"/>
              <w:left w:val="thinThickSmallGap" w:sz="36" w:space="0" w:color="76923C" w:themeColor="accent3" w:themeShade="BF"/>
              <w:bottom w:val="thickThinSmallGap" w:sz="36" w:space="0" w:color="76923C" w:themeColor="accent3" w:themeShade="BF"/>
              <w:right w:val="thickThinSmallGap" w:sz="36" w:space="0" w:color="76923C" w:themeColor="accent3" w:themeShade="BF"/>
              <w:insideH w:val="single" w:sz="6" w:space="0" w:color="76923C" w:themeColor="accent3" w:themeShade="BF"/>
              <w:insideV w:val="single" w:sz="6" w:space="0" w:color="76923C" w:themeColor="accent3" w:themeShade="BF"/>
            </w:tblBorders>
            <w:shd w:val="clear" w:color="auto" w:fill="FFFFFF" w:themeFill="background1"/>
            <w:tblLook w:val="04A0" w:firstRow="1" w:lastRow="0" w:firstColumn="1" w:lastColumn="0" w:noHBand="0" w:noVBand="1"/>
          </w:tblPr>
          <w:tblGrid>
            <w:gridCol w:w="6114"/>
          </w:tblGrid>
          <w:tr w:rsidR="008427B3" w:rsidTr="008427B3">
            <w:trPr>
              <w:trHeight w:val="3770"/>
              <w:jc w:val="center"/>
            </w:trPr>
            <w:tc>
              <w:tcPr>
                <w:tcW w:w="3000" w:type="pct"/>
                <w:shd w:val="clear" w:color="auto" w:fill="FFFFFF" w:themeFill="background1"/>
                <w:vAlign w:val="center"/>
              </w:tcPr>
              <w:sdt>
                <w:sdtPr>
                  <w:rPr>
                    <w:rFonts w:ascii="Tahoma" w:eastAsiaTheme="minorHAnsi" w:hAnsi="Tahoma" w:cs="Tahoma"/>
                    <w:b/>
                    <w:sz w:val="36"/>
                    <w:szCs w:val="36"/>
                    <w:lang w:eastAsia="en-US"/>
                  </w:rPr>
                  <w:alias w:val="Título"/>
                  <w:id w:val="13783212"/>
                  <w:placeholder>
                    <w:docPart w:val="FC84291BA7634E1D9ACD797A72C3F2B6"/>
                  </w:placeholder>
                  <w:dataBinding w:prefixMappings="xmlns:ns0='http://schemas.openxmlformats.org/package/2006/metadata/core-properties' xmlns:ns1='http://purl.org/dc/elements/1.1/'" w:xpath="/ns0:coreProperties[1]/ns1:title[1]" w:storeItemID="{6C3C8BC8-F283-45AE-878A-BAB7291924A1}"/>
                  <w:text/>
                </w:sdtPr>
                <w:sdtContent>
                  <w:p w:rsidR="008427B3" w:rsidRDefault="00E5700E">
                    <w:pPr>
                      <w:pStyle w:val="Sinespaciado"/>
                      <w:jc w:val="center"/>
                      <w:rPr>
                        <w:rFonts w:asciiTheme="majorHAnsi" w:eastAsiaTheme="majorEastAsia" w:hAnsiTheme="majorHAnsi" w:cstheme="majorBidi"/>
                        <w:sz w:val="40"/>
                        <w:szCs w:val="40"/>
                      </w:rPr>
                    </w:pPr>
                    <w:r>
                      <w:rPr>
                        <w:rFonts w:ascii="Tahoma" w:eastAsiaTheme="minorHAnsi" w:hAnsi="Tahoma" w:cs="Tahoma"/>
                        <w:b/>
                        <w:sz w:val="36"/>
                        <w:szCs w:val="36"/>
                        <w:lang w:eastAsia="en-US"/>
                      </w:rPr>
                      <w:t>PRÁCTICAS DE LABORATORIO</w:t>
                    </w:r>
                  </w:p>
                </w:sdtContent>
              </w:sdt>
              <w:p w:rsidR="008427B3" w:rsidRDefault="008427B3">
                <w:pPr>
                  <w:pStyle w:val="Sinespaciado"/>
                  <w:jc w:val="center"/>
                </w:pPr>
              </w:p>
              <w:sdt>
                <w:sdtPr>
                  <w:rPr>
                    <w:rFonts w:ascii="Tahoma" w:hAnsi="Tahoma" w:cs="Tahoma"/>
                  </w:rPr>
                  <w:alias w:val="Subtítulo"/>
                  <w:id w:val="13783219"/>
                  <w:placeholder>
                    <w:docPart w:val="3D53683990E44924AF20ED8E5388A5AE"/>
                  </w:placeholder>
                  <w:dataBinding w:prefixMappings="xmlns:ns0='http://schemas.openxmlformats.org/package/2006/metadata/core-properties' xmlns:ns1='http://purl.org/dc/elements/1.1/'" w:xpath="/ns0:coreProperties[1]/ns1:subject[1]" w:storeItemID="{6C3C8BC8-F283-45AE-878A-BAB7291924A1}"/>
                  <w:text/>
                </w:sdtPr>
                <w:sdtContent>
                  <w:p w:rsidR="008427B3" w:rsidRDefault="00E5700E">
                    <w:pPr>
                      <w:pStyle w:val="Sinespaciado"/>
                      <w:jc w:val="center"/>
                      <w:rPr>
                        <w:rFonts w:asciiTheme="majorHAnsi" w:eastAsiaTheme="majorEastAsia" w:hAnsiTheme="majorHAnsi" w:cstheme="majorBidi"/>
                        <w:sz w:val="32"/>
                        <w:szCs w:val="32"/>
                      </w:rPr>
                    </w:pPr>
                    <w:r>
                      <w:rPr>
                        <w:rFonts w:ascii="Tahoma" w:hAnsi="Tahoma" w:cs="Tahoma"/>
                      </w:rPr>
                      <w:t>BIOLOGÍA</w:t>
                    </w:r>
                  </w:p>
                </w:sdtContent>
              </w:sdt>
              <w:p w:rsidR="008427B3" w:rsidRDefault="008427B3">
                <w:pPr>
                  <w:pStyle w:val="Sinespaciado"/>
                  <w:jc w:val="center"/>
                </w:pPr>
              </w:p>
              <w:p w:rsidR="008427B3" w:rsidRDefault="008427B3" w:rsidP="00E245B7">
                <w:pPr>
                  <w:pStyle w:val="Sinespaciado"/>
                </w:pPr>
              </w:p>
              <w:p w:rsidR="008427B3" w:rsidRDefault="008427B3">
                <w:pPr>
                  <w:pStyle w:val="Sinespaciado"/>
                  <w:jc w:val="center"/>
                </w:pPr>
              </w:p>
              <w:sdt>
                <w:sdtPr>
                  <w:alias w:val="Autor"/>
                  <w:id w:val="13783229"/>
                  <w:dataBinding w:prefixMappings="xmlns:ns0='http://schemas.openxmlformats.org/package/2006/metadata/core-properties' xmlns:ns1='http://purl.org/dc/elements/1.1/'" w:xpath="/ns0:coreProperties[1]/ns1:creator[1]" w:storeItemID="{6C3C8BC8-F283-45AE-878A-BAB7291924A1}"/>
                  <w:text/>
                </w:sdtPr>
                <w:sdtContent>
                  <w:p w:rsidR="008427B3" w:rsidRDefault="007B4E84">
                    <w:pPr>
                      <w:pStyle w:val="Sinespaciado"/>
                      <w:jc w:val="center"/>
                    </w:pPr>
                    <w:r>
                      <w:t>www.precege.com</w:t>
                    </w:r>
                  </w:p>
                </w:sdtContent>
              </w:sdt>
              <w:p w:rsidR="008427B3" w:rsidRDefault="008427B3">
                <w:pPr>
                  <w:pStyle w:val="Sinespaciado"/>
                  <w:jc w:val="center"/>
                </w:pPr>
                <w:r w:rsidRPr="008427B3">
                  <w:rPr>
                    <w:noProof/>
                  </w:rPr>
                  <w:drawing>
                    <wp:inline distT="0" distB="0" distL="0" distR="0" wp14:anchorId="43229D0D" wp14:editId="21EFDB1C">
                      <wp:extent cx="1362075" cy="960851"/>
                      <wp:effectExtent l="19050" t="0" r="0" b="0"/>
                      <wp:docPr id="7" name="6 Imagen" descr="002_Logotipo_Precege_Identific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_Logotipo_Precege_Identificador.jpg"/>
                              <pic:cNvPicPr/>
                            </pic:nvPicPr>
                            <pic:blipFill>
                              <a:blip r:embed="rId10" cstate="print"/>
                              <a:stretch>
                                <a:fillRect/>
                              </a:stretch>
                            </pic:blipFill>
                            <pic:spPr>
                              <a:xfrm>
                                <a:off x="0" y="0"/>
                                <a:ext cx="1370924" cy="967094"/>
                              </a:xfrm>
                              <a:prstGeom prst="rect">
                                <a:avLst/>
                              </a:prstGeom>
                            </pic:spPr>
                          </pic:pic>
                        </a:graphicData>
                      </a:graphic>
                    </wp:inline>
                  </w:drawing>
                </w:r>
              </w:p>
            </w:tc>
            <w:bookmarkStart w:id="0" w:name="_GoBack"/>
            <w:bookmarkEnd w:id="0"/>
          </w:tr>
        </w:tbl>
        <w:p w:rsidR="008427B3" w:rsidRDefault="008427B3"/>
        <w:p w:rsidR="003E3E12" w:rsidRPr="00E245B7" w:rsidRDefault="008427B3" w:rsidP="00E245B7">
          <w:pPr>
            <w:rPr>
              <w:rFonts w:ascii="Batang" w:eastAsia="Batang" w:hAnsi="Batang"/>
              <w:sz w:val="24"/>
              <w:szCs w:val="24"/>
            </w:rPr>
          </w:pPr>
          <w:r>
            <w:rPr>
              <w:rFonts w:ascii="Batang" w:eastAsia="Batang" w:hAnsi="Batang"/>
              <w:sz w:val="24"/>
              <w:szCs w:val="24"/>
            </w:rPr>
            <w:br w:type="page"/>
          </w:r>
        </w:p>
      </w:sdtContent>
    </w:sdt>
    <w:p w:rsidR="00F4412F" w:rsidRPr="00F4412F" w:rsidRDefault="00F4412F" w:rsidP="00F4412F"/>
    <w:p w:rsidR="00CA6BD2" w:rsidRPr="00CA6BD2" w:rsidRDefault="00E5700E" w:rsidP="00CA6BD2">
      <w:pPr>
        <w:pStyle w:val="Ttulo"/>
        <w:rPr>
          <w:b/>
          <w:color w:val="92D050"/>
        </w:rPr>
      </w:pPr>
      <w:r w:rsidRPr="00E5700E">
        <w:rPr>
          <w:b/>
          <w:color w:val="92D050"/>
        </w:rPr>
        <w:t>PRACTICAS DE LABORATORIO DE BIOLOGÍA</w:t>
      </w:r>
    </w:p>
    <w:p w:rsidR="00B50178" w:rsidRDefault="00B50178" w:rsidP="00E245B7">
      <w:pPr>
        <w:pStyle w:val="Ttulo"/>
        <w:rPr>
          <w:color w:val="92D050"/>
        </w:rPr>
      </w:pPr>
    </w:p>
    <w:p w:rsidR="00E5700E" w:rsidRPr="00E5700E" w:rsidRDefault="00E5700E" w:rsidP="00E5700E">
      <w:pPr>
        <w:spacing w:before="100" w:beforeAutospacing="1" w:after="100" w:afterAutospacing="1" w:line="240" w:lineRule="auto"/>
        <w:jc w:val="center"/>
        <w:rPr>
          <w:rFonts w:ascii="Tahoma" w:eastAsia="Times New Roman" w:hAnsi="Tahoma" w:cs="Tahoma"/>
          <w:sz w:val="40"/>
          <w:szCs w:val="40"/>
        </w:rPr>
      </w:pPr>
      <w:r w:rsidRPr="00E5700E">
        <w:rPr>
          <w:rFonts w:ascii="Tahoma" w:eastAsia="Times New Roman" w:hAnsi="Tahoma" w:cs="Tahoma"/>
          <w:b/>
          <w:bCs/>
          <w:sz w:val="40"/>
          <w:szCs w:val="40"/>
        </w:rPr>
        <w:t>Preparación de un frotis bacteriano</w:t>
      </w:r>
    </w:p>
    <w:p w:rsidR="00E5700E" w:rsidRPr="00E5700E" w:rsidRDefault="00E5700E" w:rsidP="00E5700E">
      <w:pPr>
        <w:spacing w:after="0" w:line="240" w:lineRule="auto"/>
        <w:jc w:val="center"/>
        <w:rPr>
          <w:rFonts w:ascii="Tahoma" w:eastAsia="Times New Roman" w:hAnsi="Tahoma" w:cs="Tahoma"/>
          <w:sz w:val="24"/>
          <w:szCs w:val="24"/>
        </w:rPr>
      </w:pPr>
      <w:r w:rsidRPr="00E5700E">
        <w:rPr>
          <w:rFonts w:ascii="Tahoma" w:eastAsia="Times New Roman" w:hAnsi="Tahoma" w:cs="Tahoma"/>
          <w:sz w:val="24"/>
          <w:szCs w:val="24"/>
        </w:rPr>
        <w:pict>
          <v:rect id="_x0000_i1025" style="width:382.7pt;height:1.5pt" o:hrpct="900" o:hralign="center" o:hrstd="t" o:hrnoshade="t" o:hr="t" fillcolor="#006" stroked="f"/>
        </w:pict>
      </w:r>
    </w:p>
    <w:p w:rsidR="00E5700E" w:rsidRPr="00E5700E" w:rsidRDefault="00E5700E" w:rsidP="00E5700E">
      <w:pPr>
        <w:spacing w:before="100" w:beforeAutospacing="1" w:after="100" w:afterAutospacing="1" w:line="240" w:lineRule="auto"/>
        <w:ind w:firstLine="708"/>
        <w:rPr>
          <w:rFonts w:ascii="Tahoma" w:eastAsia="Times New Roman" w:hAnsi="Tahoma" w:cs="Tahoma"/>
          <w:sz w:val="24"/>
          <w:szCs w:val="24"/>
        </w:rPr>
      </w:pPr>
      <w:r w:rsidRPr="00E5700E">
        <w:rPr>
          <w:rFonts w:ascii="Tahoma" w:eastAsia="Times New Roman" w:hAnsi="Tahoma" w:cs="Tahoma"/>
          <w:sz w:val="24"/>
          <w:szCs w:val="24"/>
        </w:rPr>
        <w:t>Se denomina frotis a la extensión que se realiza sobre un portaobjetos de una muestra o cultivo con objeto de separar lo más posible los microorganismos, ya que si aparecen agrupados en la preparación es muy difícil obtener una imagen clara y nítida. Este frotis debe ser posteriormente fijado al vidrio del portaobjetos para poder aplicar los métodos habituales de tinción que permiten la observación al microscopio de las bacterias sin que la muestra sea arrastrada en los sucesivos lavados. La fijación de una extensión bacteriana hace que las bacterias queden inactivadas y adheridas al vidrio alterando lo menos posible la morfología y bacteriana y las posibles agrupaciones de células que pudiera haber.</w:t>
      </w:r>
    </w:p>
    <w:p w:rsidR="00E5700E" w:rsidRPr="00E5700E" w:rsidRDefault="00E5700E" w:rsidP="00E5700E">
      <w:pPr>
        <w:spacing w:after="0" w:line="240" w:lineRule="auto"/>
        <w:jc w:val="center"/>
        <w:rPr>
          <w:rFonts w:ascii="Tahoma" w:eastAsia="Times New Roman" w:hAnsi="Tahoma" w:cs="Tahoma"/>
          <w:sz w:val="24"/>
          <w:szCs w:val="24"/>
        </w:rPr>
      </w:pPr>
      <w:r w:rsidRPr="00E5700E">
        <w:rPr>
          <w:rFonts w:ascii="Tahoma" w:eastAsia="Times New Roman" w:hAnsi="Tahoma" w:cs="Tahoma"/>
          <w:b/>
          <w:bCs/>
          <w:sz w:val="24"/>
          <w:szCs w:val="24"/>
        </w:rPr>
        <w:t>REALIZACIÓN DEL FROTIS</w:t>
      </w:r>
    </w:p>
    <w:p w:rsidR="00E5700E" w:rsidRPr="00E5700E" w:rsidRDefault="00E5700E" w:rsidP="00E5700E">
      <w:pPr>
        <w:numPr>
          <w:ilvl w:val="0"/>
          <w:numId w:val="3"/>
        </w:numPr>
        <w:spacing w:before="100" w:beforeAutospacing="1" w:after="100" w:afterAutospacing="1" w:line="240" w:lineRule="auto"/>
        <w:rPr>
          <w:rFonts w:ascii="Tahoma" w:eastAsia="Times New Roman" w:hAnsi="Tahoma" w:cs="Tahoma"/>
          <w:sz w:val="24"/>
          <w:szCs w:val="24"/>
        </w:rPr>
      </w:pPr>
      <w:r w:rsidRPr="00E5700E">
        <w:rPr>
          <w:rFonts w:ascii="Tahoma" w:eastAsia="Times New Roman" w:hAnsi="Tahoma" w:cs="Tahoma"/>
          <w:sz w:val="24"/>
          <w:szCs w:val="24"/>
        </w:rPr>
        <w:t>Colocar una pequeña gota de agua en el centro de un portaobjetos limpio. Es necesaria muy poca cantidad de agua, por lo que se puede usar el asa de siembra, ya que en el extremo curvo de su filamento queda retenida una mínima gota de agua, que resulta suficiente.</w:t>
      </w:r>
    </w:p>
    <w:p w:rsidR="00E5700E" w:rsidRPr="00E5700E" w:rsidRDefault="00E5700E" w:rsidP="00E5700E">
      <w:pPr>
        <w:numPr>
          <w:ilvl w:val="0"/>
          <w:numId w:val="3"/>
        </w:numPr>
        <w:spacing w:before="100" w:beforeAutospacing="1" w:after="100" w:afterAutospacing="1" w:line="240" w:lineRule="auto"/>
        <w:rPr>
          <w:rFonts w:ascii="Tahoma" w:eastAsia="Times New Roman" w:hAnsi="Tahoma" w:cs="Tahoma"/>
          <w:sz w:val="24"/>
          <w:szCs w:val="24"/>
        </w:rPr>
      </w:pPr>
      <w:r w:rsidRPr="00E5700E">
        <w:rPr>
          <w:rFonts w:ascii="Tahoma" w:eastAsia="Times New Roman" w:hAnsi="Tahoma" w:cs="Tahoma"/>
          <w:sz w:val="24"/>
          <w:szCs w:val="24"/>
        </w:rPr>
        <w:t>Flamear el asa de siembra, tomar, en condiciones asépticas, una pequeña cantidad del cultivo bacteriano en medio sólido y transferirlo a la gota de agua. Remover la mezcla con el asa de siembra hasta formar una suspensión homogénea que quede bastante extendida para facilitar su secado.</w:t>
      </w:r>
      <w:r w:rsidRPr="00E5700E">
        <w:rPr>
          <w:rFonts w:ascii="Tahoma" w:eastAsia="Times New Roman" w:hAnsi="Tahoma" w:cs="Tahoma"/>
          <w:sz w:val="24"/>
          <w:szCs w:val="24"/>
        </w:rPr>
        <w:br/>
        <w:t>Si la muestra se toma de un cultivo en medio líquido, no es necesario realizar los dos primeros pasos ya que basta con colocar y extender una gota de la suspensión bacteriana, que se toma con el asa de siembra, directamente sobre el portaobjetos.</w:t>
      </w:r>
    </w:p>
    <w:p w:rsidR="00E5700E" w:rsidRPr="00E5700E" w:rsidRDefault="00E5700E" w:rsidP="00E5700E">
      <w:pPr>
        <w:numPr>
          <w:ilvl w:val="0"/>
          <w:numId w:val="3"/>
        </w:numPr>
        <w:spacing w:before="100" w:beforeAutospacing="1" w:after="100" w:afterAutospacing="1" w:line="240" w:lineRule="auto"/>
        <w:rPr>
          <w:rFonts w:ascii="Tahoma" w:eastAsia="Times New Roman" w:hAnsi="Tahoma" w:cs="Tahoma"/>
          <w:sz w:val="24"/>
          <w:szCs w:val="24"/>
        </w:rPr>
      </w:pPr>
      <w:r w:rsidRPr="00E5700E">
        <w:rPr>
          <w:rFonts w:ascii="Tahoma" w:eastAsia="Times New Roman" w:hAnsi="Tahoma" w:cs="Tahoma"/>
          <w:sz w:val="24"/>
          <w:szCs w:val="24"/>
        </w:rPr>
        <w:t xml:space="preserve">Esperar hasta que el líquido se evapore o acelerar su evaporación acercando </w:t>
      </w:r>
      <w:proofErr w:type="gramStart"/>
      <w:r w:rsidRPr="00E5700E">
        <w:rPr>
          <w:rFonts w:ascii="Tahoma" w:eastAsia="Times New Roman" w:hAnsi="Tahoma" w:cs="Tahoma"/>
          <w:sz w:val="24"/>
          <w:szCs w:val="24"/>
        </w:rPr>
        <w:t>el</w:t>
      </w:r>
      <w:proofErr w:type="gramEnd"/>
      <w:r w:rsidRPr="00E5700E">
        <w:rPr>
          <w:rFonts w:ascii="Tahoma" w:eastAsia="Times New Roman" w:hAnsi="Tahoma" w:cs="Tahoma"/>
          <w:sz w:val="24"/>
          <w:szCs w:val="24"/>
        </w:rPr>
        <w:t xml:space="preserve"> porta a la llama del mechero. En este caso hay que tener mucha precaución de no calentar demasiado </w:t>
      </w:r>
      <w:proofErr w:type="gramStart"/>
      <w:r w:rsidRPr="00E5700E">
        <w:rPr>
          <w:rFonts w:ascii="Tahoma" w:eastAsia="Times New Roman" w:hAnsi="Tahoma" w:cs="Tahoma"/>
          <w:sz w:val="24"/>
          <w:szCs w:val="24"/>
        </w:rPr>
        <w:t>el</w:t>
      </w:r>
      <w:proofErr w:type="gramEnd"/>
      <w:r w:rsidRPr="00E5700E">
        <w:rPr>
          <w:rFonts w:ascii="Tahoma" w:eastAsia="Times New Roman" w:hAnsi="Tahoma" w:cs="Tahoma"/>
          <w:sz w:val="24"/>
          <w:szCs w:val="24"/>
        </w:rPr>
        <w:t xml:space="preserve"> porta pues las células pueden deformarse o romperse.</w:t>
      </w:r>
    </w:p>
    <w:p w:rsidR="00E5700E" w:rsidRPr="00E5700E" w:rsidRDefault="00E5700E" w:rsidP="00E5700E">
      <w:pPr>
        <w:spacing w:after="0" w:line="240" w:lineRule="auto"/>
        <w:jc w:val="center"/>
        <w:rPr>
          <w:rFonts w:ascii="Tahoma" w:eastAsia="Times New Roman" w:hAnsi="Tahoma" w:cs="Tahoma"/>
          <w:sz w:val="24"/>
          <w:szCs w:val="24"/>
        </w:rPr>
      </w:pPr>
      <w:r w:rsidRPr="00E5700E">
        <w:rPr>
          <w:rFonts w:ascii="Tahoma" w:eastAsia="Times New Roman" w:hAnsi="Tahoma" w:cs="Tahoma"/>
          <w:b/>
          <w:bCs/>
          <w:sz w:val="24"/>
          <w:szCs w:val="24"/>
        </w:rPr>
        <w:t>FIJACIÓN DE LAS BACTERIAS AL PORTAOBJETOS</w:t>
      </w:r>
    </w:p>
    <w:p w:rsidR="00E5700E" w:rsidRPr="00E5700E" w:rsidRDefault="00E5700E" w:rsidP="00E5700E">
      <w:pPr>
        <w:numPr>
          <w:ilvl w:val="0"/>
          <w:numId w:val="4"/>
        </w:numPr>
        <w:spacing w:before="100" w:beforeAutospacing="1" w:after="100" w:afterAutospacing="1" w:line="240" w:lineRule="auto"/>
        <w:rPr>
          <w:rFonts w:ascii="Tahoma" w:eastAsia="Times New Roman" w:hAnsi="Tahoma" w:cs="Tahoma"/>
          <w:sz w:val="24"/>
          <w:szCs w:val="24"/>
        </w:rPr>
      </w:pPr>
      <w:r w:rsidRPr="00E5700E">
        <w:rPr>
          <w:rFonts w:ascii="Tahoma" w:eastAsia="Times New Roman" w:hAnsi="Tahoma" w:cs="Tahoma"/>
          <w:sz w:val="24"/>
          <w:szCs w:val="24"/>
        </w:rPr>
        <w:lastRenderedPageBreak/>
        <w:t xml:space="preserve">Por calor: Pasar tres veces el portaobjetos por la llama durante unos segundos. Dejar enfriar </w:t>
      </w:r>
      <w:proofErr w:type="gramStart"/>
      <w:r w:rsidRPr="00E5700E">
        <w:rPr>
          <w:rFonts w:ascii="Tahoma" w:eastAsia="Times New Roman" w:hAnsi="Tahoma" w:cs="Tahoma"/>
          <w:sz w:val="24"/>
          <w:szCs w:val="24"/>
        </w:rPr>
        <w:t>el</w:t>
      </w:r>
      <w:proofErr w:type="gramEnd"/>
      <w:r w:rsidRPr="00E5700E">
        <w:rPr>
          <w:rFonts w:ascii="Tahoma" w:eastAsia="Times New Roman" w:hAnsi="Tahoma" w:cs="Tahoma"/>
          <w:sz w:val="24"/>
          <w:szCs w:val="24"/>
        </w:rPr>
        <w:t xml:space="preserve"> porta entre los pases.</w:t>
      </w:r>
    </w:p>
    <w:p w:rsidR="00E5700E" w:rsidRPr="00E5700E" w:rsidRDefault="00E5700E" w:rsidP="00E5700E">
      <w:pPr>
        <w:numPr>
          <w:ilvl w:val="0"/>
          <w:numId w:val="4"/>
        </w:numPr>
        <w:spacing w:before="100" w:beforeAutospacing="1" w:after="100" w:afterAutospacing="1" w:line="240" w:lineRule="auto"/>
        <w:rPr>
          <w:rFonts w:ascii="Tahoma" w:eastAsia="Times New Roman" w:hAnsi="Tahoma" w:cs="Tahoma"/>
          <w:sz w:val="24"/>
          <w:szCs w:val="24"/>
        </w:rPr>
      </w:pPr>
      <w:r w:rsidRPr="00E5700E">
        <w:rPr>
          <w:rFonts w:ascii="Tahoma" w:eastAsia="Times New Roman" w:hAnsi="Tahoma" w:cs="Tahoma"/>
          <w:sz w:val="24"/>
          <w:szCs w:val="24"/>
        </w:rPr>
        <w:t>Con metanol (para bacterias procedentes de medio líquido). Añadir unas gotas de metanol sobre la extensión completamente seca. Golpear el portaobjetos por su canto con cuidado contra la mesa de trabajo para retirar de inmediato el exceso de metanol. Esperar a que el metanol se evapore completamente.</w:t>
      </w:r>
    </w:p>
    <w:p w:rsidR="00E5700E" w:rsidRPr="00E5700E" w:rsidRDefault="00E5700E" w:rsidP="00E5700E">
      <w:pPr>
        <w:spacing w:after="0" w:line="240" w:lineRule="auto"/>
        <w:jc w:val="center"/>
        <w:rPr>
          <w:rFonts w:ascii="Tahoma" w:eastAsia="Times New Roman" w:hAnsi="Tahoma" w:cs="Tahoma"/>
          <w:sz w:val="24"/>
          <w:szCs w:val="24"/>
        </w:rPr>
      </w:pPr>
      <w:r w:rsidRPr="00E5700E">
        <w:rPr>
          <w:rFonts w:ascii="Tahoma" w:eastAsia="Times New Roman" w:hAnsi="Tahoma" w:cs="Tahoma"/>
          <w:sz w:val="24"/>
          <w:szCs w:val="24"/>
        </w:rPr>
        <w:t>Una vez realizado el frotis y fijadas las bacterias, las preparaciones pueden ser observadas al microscopio, aunque carecen de contraste. Lo normal es continuar con el proceso de tinción.</w:t>
      </w:r>
    </w:p>
    <w:p w:rsidR="00E5700E" w:rsidRPr="00E5700E" w:rsidRDefault="00E5700E" w:rsidP="00E5700E">
      <w:pPr>
        <w:spacing w:after="0" w:line="240" w:lineRule="auto"/>
        <w:jc w:val="center"/>
        <w:rPr>
          <w:rFonts w:ascii="Tahoma" w:eastAsia="Times New Roman" w:hAnsi="Tahoma" w:cs="Tahoma"/>
          <w:sz w:val="24"/>
          <w:szCs w:val="24"/>
        </w:rPr>
      </w:pPr>
    </w:p>
    <w:p w:rsidR="00E5700E" w:rsidRPr="00E5700E" w:rsidRDefault="00E5700E" w:rsidP="00E5700E">
      <w:pPr>
        <w:spacing w:after="0" w:line="240" w:lineRule="auto"/>
        <w:jc w:val="center"/>
        <w:rPr>
          <w:rFonts w:ascii="Tahoma" w:eastAsia="Times New Roman" w:hAnsi="Tahoma" w:cs="Tahoma"/>
          <w:sz w:val="24"/>
          <w:szCs w:val="24"/>
        </w:rPr>
      </w:pPr>
      <w:r w:rsidRPr="00E5700E">
        <w:rPr>
          <w:rFonts w:ascii="Tahoma" w:eastAsia="Times New Roman" w:hAnsi="Tahoma" w:cs="Tahoma"/>
          <w:b/>
          <w:bCs/>
          <w:sz w:val="24"/>
          <w:szCs w:val="24"/>
        </w:rPr>
        <w:t>TINCIÓN DEL FROTIS BACTERIANO</w:t>
      </w:r>
    </w:p>
    <w:p w:rsidR="00E5700E" w:rsidRPr="00E5700E" w:rsidRDefault="00E5700E" w:rsidP="00E5700E">
      <w:pPr>
        <w:numPr>
          <w:ilvl w:val="0"/>
          <w:numId w:val="5"/>
        </w:numPr>
        <w:spacing w:before="100" w:beforeAutospacing="1" w:after="100" w:afterAutospacing="1" w:line="240" w:lineRule="auto"/>
        <w:rPr>
          <w:rFonts w:ascii="Tahoma" w:eastAsia="Times New Roman" w:hAnsi="Tahoma" w:cs="Tahoma"/>
          <w:sz w:val="24"/>
          <w:szCs w:val="24"/>
        </w:rPr>
      </w:pPr>
      <w:r w:rsidRPr="00E5700E">
        <w:rPr>
          <w:rFonts w:ascii="Tahoma" w:eastAsia="Times New Roman" w:hAnsi="Tahoma" w:cs="Tahoma"/>
          <w:sz w:val="24"/>
          <w:szCs w:val="24"/>
        </w:rPr>
        <w:t>Cubrir el frotis con abundante colorante y dejarlos actuar durante el tiempo que indique el protocolo de cada tinción concreta. Suele oscilar entre 1 y 5 minutos. En ocasiones el colorante tiñe sólo en caliente, por lo que el tiempo que dure su actuación se deberá sostener el portaobjetos con unas pinzas sobre la llama del mechero para que humee el colorante, pero teniendo mucho cuidado de que no llegue a hervir ya que se produciría la destrucción de las células.</w:t>
      </w:r>
    </w:p>
    <w:p w:rsidR="00E5700E" w:rsidRPr="00E5700E" w:rsidRDefault="00E5700E" w:rsidP="00E5700E">
      <w:pPr>
        <w:numPr>
          <w:ilvl w:val="0"/>
          <w:numId w:val="5"/>
        </w:numPr>
        <w:spacing w:before="100" w:beforeAutospacing="1" w:after="100" w:afterAutospacing="1" w:line="240" w:lineRule="auto"/>
        <w:rPr>
          <w:rFonts w:ascii="Tahoma" w:eastAsia="Times New Roman" w:hAnsi="Tahoma" w:cs="Tahoma"/>
          <w:sz w:val="24"/>
          <w:szCs w:val="24"/>
        </w:rPr>
      </w:pPr>
      <w:r w:rsidRPr="00E5700E">
        <w:rPr>
          <w:rFonts w:ascii="Tahoma" w:eastAsia="Times New Roman" w:hAnsi="Tahoma" w:cs="Tahoma"/>
          <w:sz w:val="24"/>
          <w:szCs w:val="24"/>
        </w:rPr>
        <w:t>Lavar la preparación con agua para eliminar el colorante. Esta operación se realiza inclinando el portaobjetos y aplicando el chorro de agua en su parte superior de manera que resbale sobre el frotis, pero sin que vaya dirigido directamente sobre él, pues podría arrastrar parte del frotis consigo. Eliminar la máxima cantidad de agua de los portaobjetos golpeándolos por su canto con cuidado contra la superficie de la mesa de trabajo.</w:t>
      </w:r>
    </w:p>
    <w:p w:rsidR="00E5700E" w:rsidRPr="00E5700E" w:rsidRDefault="00E5700E" w:rsidP="00E5700E">
      <w:pPr>
        <w:numPr>
          <w:ilvl w:val="0"/>
          <w:numId w:val="5"/>
        </w:numPr>
        <w:spacing w:before="100" w:beforeAutospacing="1" w:after="100" w:afterAutospacing="1" w:line="240" w:lineRule="auto"/>
        <w:rPr>
          <w:rFonts w:ascii="Tahoma" w:eastAsia="Times New Roman" w:hAnsi="Tahoma" w:cs="Tahoma"/>
          <w:sz w:val="24"/>
          <w:szCs w:val="24"/>
        </w:rPr>
      </w:pPr>
      <w:r w:rsidRPr="00E5700E">
        <w:rPr>
          <w:rFonts w:ascii="Tahoma" w:eastAsia="Times New Roman" w:hAnsi="Tahoma" w:cs="Tahoma"/>
          <w:sz w:val="24"/>
          <w:szCs w:val="24"/>
        </w:rPr>
        <w:t xml:space="preserve">Secar </w:t>
      </w:r>
      <w:proofErr w:type="gramStart"/>
      <w:r w:rsidRPr="00E5700E">
        <w:rPr>
          <w:rFonts w:ascii="Tahoma" w:eastAsia="Times New Roman" w:hAnsi="Tahoma" w:cs="Tahoma"/>
          <w:sz w:val="24"/>
          <w:szCs w:val="24"/>
        </w:rPr>
        <w:t>el</w:t>
      </w:r>
      <w:proofErr w:type="gramEnd"/>
      <w:r w:rsidRPr="00E5700E">
        <w:rPr>
          <w:rFonts w:ascii="Tahoma" w:eastAsia="Times New Roman" w:hAnsi="Tahoma" w:cs="Tahoma"/>
          <w:sz w:val="24"/>
          <w:szCs w:val="24"/>
        </w:rPr>
        <w:t xml:space="preserve"> porta presionando entre dos papeles de filtro, pero en ningún caso se debe frotar el porta.</w:t>
      </w:r>
    </w:p>
    <w:p w:rsidR="00E5700E" w:rsidRPr="00E5700E" w:rsidRDefault="00E5700E" w:rsidP="00E5700E">
      <w:pPr>
        <w:numPr>
          <w:ilvl w:val="0"/>
          <w:numId w:val="5"/>
        </w:numPr>
        <w:spacing w:before="100" w:beforeAutospacing="1" w:after="100" w:afterAutospacing="1" w:line="240" w:lineRule="auto"/>
        <w:rPr>
          <w:rFonts w:ascii="Tahoma" w:eastAsia="Times New Roman" w:hAnsi="Tahoma" w:cs="Tahoma"/>
          <w:sz w:val="24"/>
          <w:szCs w:val="24"/>
        </w:rPr>
      </w:pPr>
      <w:r w:rsidRPr="00E5700E">
        <w:rPr>
          <w:rFonts w:ascii="Tahoma" w:eastAsia="Times New Roman" w:hAnsi="Tahoma" w:cs="Tahoma"/>
          <w:sz w:val="24"/>
          <w:szCs w:val="24"/>
        </w:rPr>
        <w:t xml:space="preserve">Observar la preparación al microscopio llegando hasta el máximo aumento. Si se quiere montar de forma definitiva no se debe usar ahora el aceite de inmersión. </w:t>
      </w:r>
    </w:p>
    <w:p w:rsidR="00E5700E" w:rsidRPr="00E5700E" w:rsidRDefault="00E5700E" w:rsidP="00E5700E">
      <w:pPr>
        <w:spacing w:after="0" w:line="240" w:lineRule="auto"/>
        <w:jc w:val="center"/>
        <w:rPr>
          <w:rFonts w:ascii="Tahoma" w:eastAsia="Times New Roman" w:hAnsi="Tahoma" w:cs="Tahoma"/>
          <w:sz w:val="24"/>
          <w:szCs w:val="24"/>
        </w:rPr>
      </w:pPr>
      <w:r w:rsidRPr="00E5700E">
        <w:rPr>
          <w:rFonts w:ascii="Tahoma" w:eastAsia="Times New Roman" w:hAnsi="Tahoma" w:cs="Tahoma"/>
          <w:b/>
          <w:bCs/>
          <w:sz w:val="24"/>
          <w:szCs w:val="24"/>
        </w:rPr>
        <w:t>MONTAJE DEFINITIVO DE LA PREPARACIÓN</w:t>
      </w:r>
    </w:p>
    <w:p w:rsidR="00E5700E" w:rsidRPr="00E5700E" w:rsidRDefault="00E5700E" w:rsidP="00E5700E">
      <w:pPr>
        <w:spacing w:after="0" w:line="240" w:lineRule="auto"/>
        <w:ind w:firstLine="360"/>
        <w:rPr>
          <w:rFonts w:ascii="Tahoma" w:eastAsia="Times New Roman" w:hAnsi="Tahoma" w:cs="Tahoma"/>
          <w:sz w:val="24"/>
          <w:szCs w:val="24"/>
        </w:rPr>
      </w:pPr>
      <w:r w:rsidRPr="00E5700E">
        <w:rPr>
          <w:rFonts w:ascii="Tahoma" w:eastAsia="Times New Roman" w:hAnsi="Tahoma" w:cs="Tahoma"/>
          <w:sz w:val="24"/>
          <w:szCs w:val="24"/>
        </w:rPr>
        <w:t>La técnica siguiente es de aplicación para cualquier preparación microscópica que se desee montar de forma definitiva. Se anotará en un extremo del portaobjetos el contenido de la preparación, la fecha y, en su caso, el nombre del alumno.</w:t>
      </w:r>
    </w:p>
    <w:p w:rsidR="00E5700E" w:rsidRPr="00E5700E" w:rsidRDefault="00E5700E" w:rsidP="00E5700E">
      <w:pPr>
        <w:numPr>
          <w:ilvl w:val="0"/>
          <w:numId w:val="6"/>
        </w:numPr>
        <w:spacing w:before="100" w:beforeAutospacing="1" w:after="100" w:afterAutospacing="1" w:line="240" w:lineRule="auto"/>
        <w:rPr>
          <w:rFonts w:ascii="Tahoma" w:eastAsia="Times New Roman" w:hAnsi="Tahoma" w:cs="Tahoma"/>
          <w:sz w:val="24"/>
          <w:szCs w:val="24"/>
        </w:rPr>
      </w:pPr>
      <w:r w:rsidRPr="00E5700E">
        <w:rPr>
          <w:rFonts w:ascii="Tahoma" w:eastAsia="Times New Roman" w:hAnsi="Tahoma" w:cs="Tahoma"/>
          <w:sz w:val="24"/>
          <w:szCs w:val="24"/>
        </w:rPr>
        <w:t>Pasar sucesivamente los portaobjetos por las siguientes soluciones manteniéndolos un mínimo de 5 minutos en cada baño. La serie de alcoholes puede modificarse en función de la disponibilidad de los reactivos, pero el objetivo es que la preparación quede totalmente deshidratada. Escurrir bien el reactivo antes de introducirlo en el siguiente baño.</w:t>
      </w:r>
    </w:p>
    <w:p w:rsidR="00E5700E" w:rsidRPr="00E5700E" w:rsidRDefault="00E5700E" w:rsidP="00E5700E">
      <w:pPr>
        <w:numPr>
          <w:ilvl w:val="1"/>
          <w:numId w:val="7"/>
        </w:numPr>
        <w:spacing w:before="100" w:beforeAutospacing="1" w:after="100" w:afterAutospacing="1" w:line="240" w:lineRule="auto"/>
        <w:ind w:left="1440" w:hanging="360"/>
        <w:rPr>
          <w:rFonts w:ascii="Tahoma" w:eastAsia="Times New Roman" w:hAnsi="Tahoma" w:cs="Tahoma"/>
          <w:sz w:val="24"/>
          <w:szCs w:val="24"/>
        </w:rPr>
      </w:pPr>
      <w:r w:rsidRPr="00E5700E">
        <w:rPr>
          <w:rFonts w:ascii="Tahoma" w:eastAsia="Times New Roman" w:hAnsi="Tahoma" w:cs="Tahoma"/>
          <w:sz w:val="24"/>
          <w:szCs w:val="24"/>
        </w:rPr>
        <w:t>Alcohol de 70º</w:t>
      </w:r>
    </w:p>
    <w:p w:rsidR="00E5700E" w:rsidRPr="00E5700E" w:rsidRDefault="00E5700E" w:rsidP="00E5700E">
      <w:pPr>
        <w:numPr>
          <w:ilvl w:val="1"/>
          <w:numId w:val="7"/>
        </w:numPr>
        <w:spacing w:before="100" w:beforeAutospacing="1" w:after="100" w:afterAutospacing="1" w:line="240" w:lineRule="auto"/>
        <w:ind w:left="1440" w:hanging="360"/>
        <w:rPr>
          <w:rFonts w:ascii="Tahoma" w:eastAsia="Times New Roman" w:hAnsi="Tahoma" w:cs="Tahoma"/>
          <w:sz w:val="24"/>
          <w:szCs w:val="24"/>
        </w:rPr>
      </w:pPr>
      <w:r w:rsidRPr="00E5700E">
        <w:rPr>
          <w:rFonts w:ascii="Tahoma" w:eastAsia="Times New Roman" w:hAnsi="Tahoma" w:cs="Tahoma"/>
          <w:sz w:val="24"/>
          <w:szCs w:val="24"/>
        </w:rPr>
        <w:lastRenderedPageBreak/>
        <w:t>Alcohol de 95º</w:t>
      </w:r>
    </w:p>
    <w:p w:rsidR="00E5700E" w:rsidRPr="00E5700E" w:rsidRDefault="00E5700E" w:rsidP="00E5700E">
      <w:pPr>
        <w:numPr>
          <w:ilvl w:val="1"/>
          <w:numId w:val="7"/>
        </w:numPr>
        <w:spacing w:before="100" w:beforeAutospacing="1" w:after="100" w:afterAutospacing="1" w:line="240" w:lineRule="auto"/>
        <w:ind w:left="1440" w:hanging="360"/>
        <w:rPr>
          <w:rFonts w:ascii="Tahoma" w:eastAsia="Times New Roman" w:hAnsi="Tahoma" w:cs="Tahoma"/>
          <w:sz w:val="24"/>
          <w:szCs w:val="24"/>
        </w:rPr>
      </w:pPr>
      <w:r w:rsidRPr="00E5700E">
        <w:rPr>
          <w:rFonts w:ascii="Tahoma" w:eastAsia="Times New Roman" w:hAnsi="Tahoma" w:cs="Tahoma"/>
          <w:sz w:val="24"/>
          <w:szCs w:val="24"/>
        </w:rPr>
        <w:t>Acetona pura</w:t>
      </w:r>
    </w:p>
    <w:p w:rsidR="00E5700E" w:rsidRPr="00E5700E" w:rsidRDefault="00E5700E" w:rsidP="00E5700E">
      <w:pPr>
        <w:numPr>
          <w:ilvl w:val="1"/>
          <w:numId w:val="7"/>
        </w:numPr>
        <w:spacing w:before="100" w:beforeAutospacing="1" w:after="100" w:afterAutospacing="1" w:line="240" w:lineRule="auto"/>
        <w:ind w:left="1440" w:hanging="360"/>
        <w:rPr>
          <w:rFonts w:ascii="Tahoma" w:eastAsia="Times New Roman" w:hAnsi="Tahoma" w:cs="Tahoma"/>
          <w:sz w:val="24"/>
          <w:szCs w:val="24"/>
        </w:rPr>
      </w:pPr>
      <w:r w:rsidRPr="00E5700E">
        <w:rPr>
          <w:rFonts w:ascii="Tahoma" w:eastAsia="Times New Roman" w:hAnsi="Tahoma" w:cs="Tahoma"/>
          <w:sz w:val="24"/>
          <w:szCs w:val="24"/>
        </w:rPr>
        <w:t>Acetona-</w:t>
      </w:r>
      <w:proofErr w:type="spellStart"/>
      <w:r w:rsidRPr="00E5700E">
        <w:rPr>
          <w:rFonts w:ascii="Tahoma" w:eastAsia="Times New Roman" w:hAnsi="Tahoma" w:cs="Tahoma"/>
          <w:sz w:val="24"/>
          <w:szCs w:val="24"/>
        </w:rPr>
        <w:t>xilol</w:t>
      </w:r>
      <w:proofErr w:type="spellEnd"/>
      <w:r w:rsidRPr="00E5700E">
        <w:rPr>
          <w:rFonts w:ascii="Tahoma" w:eastAsia="Times New Roman" w:hAnsi="Tahoma" w:cs="Tahoma"/>
          <w:sz w:val="24"/>
          <w:szCs w:val="24"/>
        </w:rPr>
        <w:t xml:space="preserve"> (1:1)</w:t>
      </w:r>
    </w:p>
    <w:p w:rsidR="00E5700E" w:rsidRPr="00E5700E" w:rsidRDefault="00E5700E" w:rsidP="00E5700E">
      <w:pPr>
        <w:numPr>
          <w:ilvl w:val="1"/>
          <w:numId w:val="7"/>
        </w:numPr>
        <w:spacing w:before="100" w:beforeAutospacing="1" w:after="100" w:afterAutospacing="1" w:line="240" w:lineRule="auto"/>
        <w:ind w:left="1440" w:hanging="360"/>
        <w:rPr>
          <w:rFonts w:ascii="Tahoma" w:eastAsia="Times New Roman" w:hAnsi="Tahoma" w:cs="Tahoma"/>
          <w:sz w:val="24"/>
          <w:szCs w:val="24"/>
        </w:rPr>
      </w:pPr>
      <w:proofErr w:type="spellStart"/>
      <w:r w:rsidRPr="00E5700E">
        <w:rPr>
          <w:rFonts w:ascii="Tahoma" w:eastAsia="Times New Roman" w:hAnsi="Tahoma" w:cs="Tahoma"/>
          <w:sz w:val="24"/>
          <w:szCs w:val="24"/>
        </w:rPr>
        <w:t>Xilol</w:t>
      </w:r>
      <w:proofErr w:type="spellEnd"/>
    </w:p>
    <w:p w:rsidR="00E5700E" w:rsidRPr="00E5700E" w:rsidRDefault="00E5700E" w:rsidP="00E5700E">
      <w:pPr>
        <w:numPr>
          <w:ilvl w:val="0"/>
          <w:numId w:val="7"/>
        </w:numPr>
        <w:spacing w:before="100" w:beforeAutospacing="1" w:after="100" w:afterAutospacing="1" w:line="240" w:lineRule="auto"/>
        <w:rPr>
          <w:rFonts w:ascii="Tahoma" w:eastAsia="Times New Roman" w:hAnsi="Tahoma" w:cs="Tahoma"/>
          <w:sz w:val="24"/>
          <w:szCs w:val="24"/>
        </w:rPr>
      </w:pPr>
      <w:r w:rsidRPr="00E5700E">
        <w:rPr>
          <w:rFonts w:ascii="Tahoma" w:eastAsia="Times New Roman" w:hAnsi="Tahoma" w:cs="Tahoma"/>
          <w:sz w:val="24"/>
          <w:szCs w:val="24"/>
        </w:rPr>
        <w:t xml:space="preserve">Montar la preparación. Emplear bálsamo de Canadá, </w:t>
      </w:r>
      <w:proofErr w:type="spellStart"/>
      <w:r w:rsidRPr="00E5700E">
        <w:rPr>
          <w:rFonts w:ascii="Tahoma" w:eastAsia="Times New Roman" w:hAnsi="Tahoma" w:cs="Tahoma"/>
          <w:sz w:val="24"/>
          <w:szCs w:val="24"/>
        </w:rPr>
        <w:t>euparal</w:t>
      </w:r>
      <w:proofErr w:type="spellEnd"/>
      <w:r w:rsidRPr="00E5700E">
        <w:rPr>
          <w:rFonts w:ascii="Tahoma" w:eastAsia="Times New Roman" w:hAnsi="Tahoma" w:cs="Tahoma"/>
          <w:sz w:val="24"/>
          <w:szCs w:val="24"/>
        </w:rPr>
        <w:t xml:space="preserve"> o algún medio de montaje sintético. Utilizar preferiblemente cubreobjetos de 22x22 </w:t>
      </w:r>
      <w:proofErr w:type="spellStart"/>
      <w:r w:rsidRPr="00E5700E">
        <w:rPr>
          <w:rFonts w:ascii="Tahoma" w:eastAsia="Times New Roman" w:hAnsi="Tahoma" w:cs="Tahoma"/>
          <w:sz w:val="24"/>
          <w:szCs w:val="24"/>
        </w:rPr>
        <w:t>mm.</w:t>
      </w:r>
      <w:proofErr w:type="spellEnd"/>
    </w:p>
    <w:p w:rsidR="000D4C89" w:rsidRPr="000D4C89" w:rsidRDefault="000D4C89" w:rsidP="00E5700E">
      <w:pPr>
        <w:rPr>
          <w:sz w:val="24"/>
          <w:szCs w:val="24"/>
        </w:rPr>
      </w:pPr>
    </w:p>
    <w:sectPr w:rsidR="000D4C89" w:rsidRPr="000D4C89" w:rsidSect="008427B3">
      <w:headerReference w:type="even" r:id="rId11"/>
      <w:headerReference w:type="default" r:id="rId12"/>
      <w:footerReference w:type="default" r:id="rId13"/>
      <w:headerReference w:type="first" r:id="rId14"/>
      <w:pgSz w:w="11906" w:h="16838"/>
      <w:pgMar w:top="1417" w:right="1701" w:bottom="1417" w:left="1701" w:header="708" w:footer="708" w:gutter="0"/>
      <w:pgBorders w:offsetFrom="page">
        <w:top w:val="single" w:sz="24" w:space="24" w:color="76923C" w:themeColor="accent3" w:themeShade="BF"/>
        <w:bottom w:val="single" w:sz="24" w:space="24" w:color="76923C" w:themeColor="accent3" w:themeShade="BF"/>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EE9" w:rsidRDefault="00CB0EE9" w:rsidP="004E460B">
      <w:pPr>
        <w:spacing w:after="0" w:line="240" w:lineRule="auto"/>
      </w:pPr>
      <w:r>
        <w:separator/>
      </w:r>
    </w:p>
  </w:endnote>
  <w:endnote w:type="continuationSeparator" w:id="0">
    <w:p w:rsidR="00CB0EE9" w:rsidRDefault="00CB0EE9" w:rsidP="004E4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14653"/>
      <w:docPartObj>
        <w:docPartGallery w:val="Page Numbers (Bottom of Page)"/>
        <w:docPartUnique/>
      </w:docPartObj>
    </w:sdtPr>
    <w:sdtContent>
      <w:p w:rsidR="006A5AAA" w:rsidRDefault="00C059D7">
        <w:pPr>
          <w:pStyle w:val="Piedepgina"/>
          <w:jc w:val="center"/>
        </w:pPr>
        <w:r>
          <w:fldChar w:fldCharType="begin"/>
        </w:r>
        <w:r>
          <w:instrText xml:space="preserve"> PAGE   \* MERGEFORMAT </w:instrText>
        </w:r>
        <w:r>
          <w:fldChar w:fldCharType="separate"/>
        </w:r>
        <w:r w:rsidR="00E5700E">
          <w:rPr>
            <w:noProof/>
          </w:rPr>
          <w:t>2</w:t>
        </w:r>
        <w:r>
          <w:rPr>
            <w:noProof/>
          </w:rPr>
          <w:fldChar w:fldCharType="end"/>
        </w:r>
      </w:p>
    </w:sdtContent>
  </w:sdt>
  <w:p w:rsidR="004E460B" w:rsidRDefault="004E460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EE9" w:rsidRDefault="00CB0EE9" w:rsidP="004E460B">
      <w:pPr>
        <w:spacing w:after="0" w:line="240" w:lineRule="auto"/>
      </w:pPr>
      <w:r>
        <w:separator/>
      </w:r>
    </w:p>
  </w:footnote>
  <w:footnote w:type="continuationSeparator" w:id="0">
    <w:p w:rsidR="00CB0EE9" w:rsidRDefault="00CB0EE9" w:rsidP="004E46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60B" w:rsidRDefault="000D4C8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74725" o:spid="_x0000_s2053" type="#_x0000_t75" style="position:absolute;margin-left:0;margin-top:0;width:424.8pt;height:603.55pt;z-index:-251657216;mso-position-horizontal:center;mso-position-horizontal-relative:margin;mso-position-vertical:center;mso-position-vertical-relative:margin" o:allowincell="f">
          <v:imagedata r:id="rId1" o:title="002_Marca de Agua_Preceg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5B7" w:rsidRDefault="00E245B7">
    <w:pPr>
      <w:pStyle w:val="Encabezado"/>
    </w:pPr>
  </w:p>
  <w:p w:rsidR="00E245B7" w:rsidRPr="00E245B7" w:rsidRDefault="000D4C89" w:rsidP="00E245B7">
    <w:pPr>
      <w:tabs>
        <w:tab w:val="center" w:pos="4252"/>
        <w:tab w:val="right" w:pos="8504"/>
      </w:tabs>
      <w:spacing w:after="0" w:line="240" w:lineRule="auto"/>
      <w:rPr>
        <w:rFonts w:ascii="Times New Roman" w:eastAsia="Times New Roman" w:hAnsi="Times New Roman" w:cs="Times New Roman"/>
        <w:b/>
      </w:rPr>
    </w:pPr>
    <w:r>
      <w:rPr>
        <w:rFonts w:ascii="Times New Roman" w:eastAsia="Times New Roman" w:hAnsi="Times New Roman" w:cs="Times New Roman"/>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82455" o:spid="_x0000_s2055" type="#_x0000_t75" style="position:absolute;margin-left:0;margin-top:0;width:424.8pt;height:603.55pt;z-index:-251654144;mso-position-horizontal:center;mso-position-horizontal-relative:margin;mso-position-vertical:center;mso-position-vertical-relative:margin" o:allowincell="f">
          <v:imagedata r:id="rId1" o:title="002_Marca de Agua_Precege" gain="19661f" blacklevel="22938f"/>
          <w10:wrap anchorx="margin" anchory="margin"/>
        </v:shape>
      </w:pict>
    </w:r>
    <w:r w:rsidR="00E245B7" w:rsidRPr="00E245B7">
      <w:rPr>
        <w:rFonts w:ascii="Times New Roman" w:eastAsia="Times New Roman" w:hAnsi="Times New Roman" w:cs="Times New Roman"/>
        <w:b/>
      </w:rPr>
      <w:t xml:space="preserve">OPOSICIONES  SECUNDARIA BIOLOGÍA Y GEOLOGÍA.     </w:t>
    </w:r>
    <w:hyperlink r:id="rId2" w:history="1">
      <w:r w:rsidR="00E245B7" w:rsidRPr="00E245B7">
        <w:rPr>
          <w:rFonts w:ascii="Times New Roman" w:eastAsia="Times New Roman" w:hAnsi="Times New Roman" w:cs="Times New Roman"/>
          <w:b/>
          <w:color w:val="0000FF"/>
          <w:u w:val="single"/>
        </w:rPr>
        <w:t>www.precege.com</w:t>
      </w:r>
    </w:hyperlink>
  </w:p>
  <w:p w:rsidR="004E460B" w:rsidRDefault="000D4C89">
    <w:pPr>
      <w:pStyle w:val="Encabezado"/>
    </w:pPr>
    <w:r>
      <w:rPr>
        <w:noProof/>
      </w:rPr>
      <w:pict>
        <v:shape id="WordPictureWatermark7974726" o:spid="_x0000_s2054" type="#_x0000_t75" style="position:absolute;margin-left:0;margin-top:0;width:424.8pt;height:603.55pt;z-index:-251656192;mso-position-horizontal:center;mso-position-horizontal-relative:margin;mso-position-vertical:center;mso-position-vertical-relative:margin" o:allowincell="f">
          <v:imagedata r:id="rId1" o:title="002_Marca de Agua_Preceg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60B" w:rsidRDefault="000D4C8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74724" o:spid="_x0000_s2052" type="#_x0000_t75" style="position:absolute;margin-left:0;margin-top:0;width:424.8pt;height:603.55pt;z-index:-251658240;mso-position-horizontal:center;mso-position-horizontal-relative:margin;mso-position-vertical:center;mso-position-vertical-relative:margin" o:allowincell="f">
          <v:imagedata r:id="rId1" o:title="002_Marca de Agua_Preceg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27A26"/>
    <w:multiLevelType w:val="multilevel"/>
    <w:tmpl w:val="C96602CC"/>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ABB7276"/>
    <w:multiLevelType w:val="multilevel"/>
    <w:tmpl w:val="BF5EFB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42BD1986"/>
    <w:multiLevelType w:val="multilevel"/>
    <w:tmpl w:val="9A6824A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4CE418A6"/>
    <w:multiLevelType w:val="hybridMultilevel"/>
    <w:tmpl w:val="AA96A9B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1C819C9"/>
    <w:multiLevelType w:val="multilevel"/>
    <w:tmpl w:val="C776933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6B5D2087"/>
    <w:multiLevelType w:val="hybridMultilevel"/>
    <w:tmpl w:val="BF26A0B6"/>
    <w:lvl w:ilvl="0" w:tplc="E31C2534">
      <w:start w:val="1"/>
      <w:numFmt w:val="decimal"/>
      <w:lvlText w:val="%1-"/>
      <w:lvlJc w:val="left"/>
      <w:pPr>
        <w:ind w:left="720" w:hanging="360"/>
      </w:pPr>
      <w:rPr>
        <w:rFonts w:hint="default"/>
        <w:vertAlign w:val="baselin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0"/>
      <w:lvl w:ilvl="0">
        <w:start w:val="10"/>
        <w:numFmt w:val="decimal"/>
        <w:lvlText w:val=""/>
        <w:lvlJc w:val="left"/>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DD3"/>
    <w:rsid w:val="00051FA3"/>
    <w:rsid w:val="000672F9"/>
    <w:rsid w:val="000D13E0"/>
    <w:rsid w:val="000D4C89"/>
    <w:rsid w:val="000E04A3"/>
    <w:rsid w:val="000E4498"/>
    <w:rsid w:val="00121C1E"/>
    <w:rsid w:val="001241AE"/>
    <w:rsid w:val="00136519"/>
    <w:rsid w:val="00137FB0"/>
    <w:rsid w:val="00161AA1"/>
    <w:rsid w:val="001D0C67"/>
    <w:rsid w:val="001F3812"/>
    <w:rsid w:val="00273DF9"/>
    <w:rsid w:val="002A55FC"/>
    <w:rsid w:val="00325A99"/>
    <w:rsid w:val="003560D6"/>
    <w:rsid w:val="00360F82"/>
    <w:rsid w:val="003B2DAA"/>
    <w:rsid w:val="003E3E12"/>
    <w:rsid w:val="003F73D9"/>
    <w:rsid w:val="004176A8"/>
    <w:rsid w:val="00481801"/>
    <w:rsid w:val="004D0A62"/>
    <w:rsid w:val="004E460B"/>
    <w:rsid w:val="004F7BAF"/>
    <w:rsid w:val="00523EDB"/>
    <w:rsid w:val="00551416"/>
    <w:rsid w:val="005628E7"/>
    <w:rsid w:val="005A6BBD"/>
    <w:rsid w:val="005D6274"/>
    <w:rsid w:val="005E0952"/>
    <w:rsid w:val="00603A74"/>
    <w:rsid w:val="00605913"/>
    <w:rsid w:val="0061727E"/>
    <w:rsid w:val="0066665A"/>
    <w:rsid w:val="00673814"/>
    <w:rsid w:val="006A5A10"/>
    <w:rsid w:val="006A5AAA"/>
    <w:rsid w:val="007B4E84"/>
    <w:rsid w:val="007B5C84"/>
    <w:rsid w:val="007E5654"/>
    <w:rsid w:val="00816AD1"/>
    <w:rsid w:val="00817CD6"/>
    <w:rsid w:val="008427B3"/>
    <w:rsid w:val="00874A48"/>
    <w:rsid w:val="00881262"/>
    <w:rsid w:val="0088233B"/>
    <w:rsid w:val="00885F0B"/>
    <w:rsid w:val="00905511"/>
    <w:rsid w:val="009336BB"/>
    <w:rsid w:val="0093676C"/>
    <w:rsid w:val="00947079"/>
    <w:rsid w:val="00966927"/>
    <w:rsid w:val="009B2063"/>
    <w:rsid w:val="009C6A50"/>
    <w:rsid w:val="00A33ADE"/>
    <w:rsid w:val="00A769CE"/>
    <w:rsid w:val="00AE6EB3"/>
    <w:rsid w:val="00B34D23"/>
    <w:rsid w:val="00B50178"/>
    <w:rsid w:val="00B60678"/>
    <w:rsid w:val="00B77A95"/>
    <w:rsid w:val="00B90729"/>
    <w:rsid w:val="00BE289C"/>
    <w:rsid w:val="00C059D7"/>
    <w:rsid w:val="00C77FC3"/>
    <w:rsid w:val="00C86CB2"/>
    <w:rsid w:val="00CA6BD2"/>
    <w:rsid w:val="00CB0EE9"/>
    <w:rsid w:val="00CC43C3"/>
    <w:rsid w:val="00CC7803"/>
    <w:rsid w:val="00D64769"/>
    <w:rsid w:val="00D73B7D"/>
    <w:rsid w:val="00D91D10"/>
    <w:rsid w:val="00DB2EA8"/>
    <w:rsid w:val="00E245B7"/>
    <w:rsid w:val="00E31B7D"/>
    <w:rsid w:val="00E412D8"/>
    <w:rsid w:val="00E41DD3"/>
    <w:rsid w:val="00E5700E"/>
    <w:rsid w:val="00EB7F6F"/>
    <w:rsid w:val="00EE446D"/>
    <w:rsid w:val="00F4412F"/>
    <w:rsid w:val="00F7466E"/>
    <w:rsid w:val="00FC4A49"/>
    <w:rsid w:val="00FF7AC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E41DD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41DD3"/>
    <w:rPr>
      <w:rFonts w:asciiTheme="majorHAnsi" w:eastAsiaTheme="majorEastAsia" w:hAnsiTheme="majorHAnsi" w:cstheme="majorBidi"/>
      <w:b/>
      <w:bCs/>
      <w:color w:val="4F81BD" w:themeColor="accent1"/>
      <w:sz w:val="26"/>
      <w:szCs w:val="26"/>
    </w:rPr>
  </w:style>
  <w:style w:type="paragraph" w:styleId="Ttulo">
    <w:name w:val="Title"/>
    <w:basedOn w:val="Normal"/>
    <w:next w:val="Normal"/>
    <w:link w:val="TtuloCar"/>
    <w:uiPriority w:val="10"/>
    <w:qFormat/>
    <w:rsid w:val="00E41D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41DD3"/>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E41DD3"/>
    <w:pPr>
      <w:ind w:left="720"/>
      <w:contextualSpacing/>
    </w:pPr>
  </w:style>
  <w:style w:type="paragraph" w:styleId="Textodeglobo">
    <w:name w:val="Balloon Text"/>
    <w:basedOn w:val="Normal"/>
    <w:link w:val="TextodegloboCar"/>
    <w:uiPriority w:val="99"/>
    <w:semiHidden/>
    <w:unhideWhenUsed/>
    <w:rsid w:val="004E46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460B"/>
    <w:rPr>
      <w:rFonts w:ascii="Tahoma" w:hAnsi="Tahoma" w:cs="Tahoma"/>
      <w:sz w:val="16"/>
      <w:szCs w:val="16"/>
    </w:rPr>
  </w:style>
  <w:style w:type="paragraph" w:styleId="Encabezado">
    <w:name w:val="header"/>
    <w:basedOn w:val="Normal"/>
    <w:link w:val="EncabezadoCar"/>
    <w:uiPriority w:val="99"/>
    <w:unhideWhenUsed/>
    <w:rsid w:val="004E460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E460B"/>
  </w:style>
  <w:style w:type="paragraph" w:styleId="Piedepgina">
    <w:name w:val="footer"/>
    <w:basedOn w:val="Normal"/>
    <w:link w:val="PiedepginaCar"/>
    <w:uiPriority w:val="99"/>
    <w:unhideWhenUsed/>
    <w:rsid w:val="004E460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E460B"/>
  </w:style>
  <w:style w:type="table" w:styleId="Tablaconcuadrcula">
    <w:name w:val="Table Grid"/>
    <w:basedOn w:val="Tablanormal"/>
    <w:uiPriority w:val="59"/>
    <w:rsid w:val="00816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11">
    <w:name w:val="Sombreado claro - Énfasis 11"/>
    <w:basedOn w:val="Tablanormal"/>
    <w:uiPriority w:val="60"/>
    <w:rsid w:val="00816AD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Textodelmarcadordeposicin">
    <w:name w:val="Placeholder Text"/>
    <w:basedOn w:val="Fuentedeprrafopredeter"/>
    <w:uiPriority w:val="99"/>
    <w:semiHidden/>
    <w:rsid w:val="001F3812"/>
    <w:rPr>
      <w:color w:val="808080"/>
    </w:rPr>
  </w:style>
  <w:style w:type="paragraph" w:styleId="Sinespaciado">
    <w:name w:val="No Spacing"/>
    <w:link w:val="SinespaciadoCar"/>
    <w:uiPriority w:val="1"/>
    <w:qFormat/>
    <w:rsid w:val="008427B3"/>
    <w:pPr>
      <w:spacing w:after="0" w:line="240" w:lineRule="auto"/>
    </w:pPr>
  </w:style>
  <w:style w:type="character" w:customStyle="1" w:styleId="SinespaciadoCar">
    <w:name w:val="Sin espaciado Car"/>
    <w:basedOn w:val="Fuentedeprrafopredeter"/>
    <w:link w:val="Sinespaciado"/>
    <w:uiPriority w:val="1"/>
    <w:rsid w:val="008427B3"/>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unhideWhenUsed/>
    <w:qFormat/>
    <w:rsid w:val="00E41DD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41DD3"/>
    <w:rPr>
      <w:rFonts w:asciiTheme="majorHAnsi" w:eastAsiaTheme="majorEastAsia" w:hAnsiTheme="majorHAnsi" w:cstheme="majorBidi"/>
      <w:b/>
      <w:bCs/>
      <w:color w:val="4F81BD" w:themeColor="accent1"/>
      <w:sz w:val="26"/>
      <w:szCs w:val="26"/>
    </w:rPr>
  </w:style>
  <w:style w:type="paragraph" w:styleId="Ttulo">
    <w:name w:val="Title"/>
    <w:basedOn w:val="Normal"/>
    <w:next w:val="Normal"/>
    <w:link w:val="TtuloCar"/>
    <w:uiPriority w:val="10"/>
    <w:qFormat/>
    <w:rsid w:val="00E41D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41DD3"/>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E41DD3"/>
    <w:pPr>
      <w:ind w:left="720"/>
      <w:contextualSpacing/>
    </w:pPr>
  </w:style>
  <w:style w:type="paragraph" w:styleId="Textodeglobo">
    <w:name w:val="Balloon Text"/>
    <w:basedOn w:val="Normal"/>
    <w:link w:val="TextodegloboCar"/>
    <w:uiPriority w:val="99"/>
    <w:semiHidden/>
    <w:unhideWhenUsed/>
    <w:rsid w:val="004E46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E460B"/>
    <w:rPr>
      <w:rFonts w:ascii="Tahoma" w:hAnsi="Tahoma" w:cs="Tahoma"/>
      <w:sz w:val="16"/>
      <w:szCs w:val="16"/>
    </w:rPr>
  </w:style>
  <w:style w:type="paragraph" w:styleId="Encabezado">
    <w:name w:val="header"/>
    <w:basedOn w:val="Normal"/>
    <w:link w:val="EncabezadoCar"/>
    <w:uiPriority w:val="99"/>
    <w:unhideWhenUsed/>
    <w:rsid w:val="004E460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E460B"/>
  </w:style>
  <w:style w:type="paragraph" w:styleId="Piedepgina">
    <w:name w:val="footer"/>
    <w:basedOn w:val="Normal"/>
    <w:link w:val="PiedepginaCar"/>
    <w:uiPriority w:val="99"/>
    <w:unhideWhenUsed/>
    <w:rsid w:val="004E460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E460B"/>
  </w:style>
  <w:style w:type="table" w:styleId="Tablaconcuadrcula">
    <w:name w:val="Table Grid"/>
    <w:basedOn w:val="Tablanormal"/>
    <w:uiPriority w:val="59"/>
    <w:rsid w:val="00816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nfasis11">
    <w:name w:val="Sombreado claro - Énfasis 11"/>
    <w:basedOn w:val="Tablanormal"/>
    <w:uiPriority w:val="60"/>
    <w:rsid w:val="00816AD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Textodelmarcadordeposicin">
    <w:name w:val="Placeholder Text"/>
    <w:basedOn w:val="Fuentedeprrafopredeter"/>
    <w:uiPriority w:val="99"/>
    <w:semiHidden/>
    <w:rsid w:val="001F3812"/>
    <w:rPr>
      <w:color w:val="808080"/>
    </w:rPr>
  </w:style>
  <w:style w:type="paragraph" w:styleId="Sinespaciado">
    <w:name w:val="No Spacing"/>
    <w:link w:val="SinespaciadoCar"/>
    <w:uiPriority w:val="1"/>
    <w:qFormat/>
    <w:rsid w:val="008427B3"/>
    <w:pPr>
      <w:spacing w:after="0" w:line="240" w:lineRule="auto"/>
    </w:pPr>
  </w:style>
  <w:style w:type="character" w:customStyle="1" w:styleId="SinespaciadoCar">
    <w:name w:val="Sin espaciado Car"/>
    <w:basedOn w:val="Fuentedeprrafopredeter"/>
    <w:link w:val="Sinespaciado"/>
    <w:uiPriority w:val="1"/>
    <w:rsid w:val="008427B3"/>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hyperlink" Target="http://www.precege.com"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tyles" Target="styles.xml"/><Relationship Id="rId2" Type="http://schemas.openxmlformats.org/officeDocument/2006/relationships/customXml" Target="../../customXml/item4.xml"/><Relationship Id="rId1" Type="http://schemas.openxmlformats.org/officeDocument/2006/relationships/customXml" Target="../../customXml/item3.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C84291BA7634E1D9ACD797A72C3F2B6"/>
        <w:category>
          <w:name w:val="General"/>
          <w:gallery w:val="placeholder"/>
        </w:category>
        <w:types>
          <w:type w:val="bbPlcHdr"/>
        </w:types>
        <w:behaviors>
          <w:behavior w:val="content"/>
        </w:behaviors>
        <w:guid w:val="{D790DC74-5A57-4B03-8352-0282D8EDE975}"/>
      </w:docPartPr>
      <w:docPartBody>
        <w:p w:rsidR="00F62475" w:rsidRDefault="001B3B3A" w:rsidP="001B3B3A">
          <w:pPr>
            <w:pStyle w:val="FC84291BA7634E1D9ACD797A72C3F2B6"/>
          </w:pPr>
          <w:r>
            <w:rPr>
              <w:rFonts w:asciiTheme="majorHAnsi" w:eastAsiaTheme="majorEastAsia" w:hAnsiTheme="majorHAnsi" w:cstheme="majorBidi"/>
              <w:sz w:val="40"/>
              <w:szCs w:val="40"/>
            </w:rPr>
            <w:t>[Escribir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1B3B3A"/>
    <w:rsid w:val="001B3B3A"/>
    <w:rsid w:val="00337C2B"/>
    <w:rsid w:val="00C2472A"/>
    <w:rsid w:val="00F624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C84291BA7634E1D9ACD797A72C3F2B6">
    <w:name w:val="FC84291BA7634E1D9ACD797A72C3F2B6"/>
    <w:rsid w:val="001B3B3A"/>
  </w:style>
  <w:style w:type="paragraph" w:customStyle="1" w:styleId="3D53683990E44924AF20ED8E5388A5AE">
    <w:name w:val="3D53683990E44924AF20ED8E5388A5AE"/>
    <w:rsid w:val="001B3B3A"/>
  </w:style>
  <w:style w:type="paragraph" w:customStyle="1" w:styleId="C3489D10DE1045DCB758734DEFC06164">
    <w:name w:val="C3489D10DE1045DCB758734DEFC06164"/>
    <w:rsid w:val="001B3B3A"/>
  </w:style>
  <w:style w:type="paragraph" w:customStyle="1" w:styleId="1E217408B653445B899C1D66F44C17C4">
    <w:name w:val="1E217408B653445B899C1D66F44C17C4"/>
    <w:rsid w:val="001B3B3A"/>
  </w:style>
  <w:style w:type="paragraph" w:customStyle="1" w:styleId="C61B27F598204625999381C16EF33A1B">
    <w:name w:val="C61B27F598204625999381C16EF33A1B"/>
    <w:rsid w:val="00F624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2015-09-30T00:00:00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overPageProperties xmlns="http://schemas.microsoft.com/office/2006/coverPageProps">
  <PublishDate>2015-09-30T00:00:00</PublishDate>
  <Abstract/>
  <CompanyAddress/>
  <CompanyPhone/>
  <CompanyFax/>
  <CompanyEmail/>
</CoverPage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02E8F1-C0EB-443E-8F8F-324F271F1870}">
  <ds:schemaRefs>
    <ds:schemaRef ds:uri="http://schemas.openxmlformats.org/officeDocument/2006/bibliography"/>
  </ds:schemaRefs>
</ds:datastoreItem>
</file>

<file path=customXml/itemProps3.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4.xml><?xml version="1.0" encoding="utf-8"?>
<ds:datastoreItem xmlns:ds="http://schemas.openxmlformats.org/officeDocument/2006/customXml" ds:itemID="{D6D3E7AD-1B6E-4158-9C34-C51B3629C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708</Words>
  <Characters>3894</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PRÁCTICAS DE LABORATORIO</vt:lpstr>
    </vt:vector>
  </TitlesOfParts>
  <Company>www.intercambiosvirtuales.org</Company>
  <LinksUpToDate>false</LinksUpToDate>
  <CharactersWithSpaces>4593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PRÁCTICAS DE LABORATORIO</dc:title>
  <dc:subject>BIOLOGÍA</dc:subject>
  <dc:creator>www.precege.com</dc:creator>
  <cp:lastModifiedBy>Raquel</cp:lastModifiedBy>
  <cp:revision>2</cp:revision>
  <dcterms:created xsi:type="dcterms:W3CDTF">2015-09-28T10:52:00Z</dcterms:created>
  <dcterms:modified xsi:type="dcterms:W3CDTF">2015-09-28T10:52:00Z</dcterms:modified>
</cp:coreProperties>
</file>